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0166/2014 vom 2. Dezember 2014</w:t>
      </w:r>
    </w:p>
    <w:p>
      <w:r>
        <w:t>ZH Baurekursgericht, 2014-12-02, DE</w:t>
      </w:r>
    </w:p>
    <w:p>
      <w:r>
        <w:rPr>
          <w:b/>
        </w:rPr>
        <w:t xml:space="preserve">Quelle: </w:t>
      </w:r>
      <w:r>
        <w:t>https://mcp.opencaselaw.ch/entscheid/zh_baurekursgericht_BRGE II Nr. 0166_2014</w:t>
      </w:r>
    </w:p>
    <w:p>
      <w:r>
        <w:t>FR: ZH_BAUREKURSGERICHT BRGE II Nr. 0166/2014 du 2 décembre 2014</w:t>
      </w:r>
    </w:p>
    <w:p>
      <w:r>
        <w:t>IT: ZH_BAUREKURSGERICHT BRGE II Nr. 0166/2014 del 2 dicembre 2014</w:t>
      </w:r>
    </w:p>
    <w:p>
      <w:pPr>
        <w:pStyle w:val="Heading2"/>
      </w:pPr>
      <w:r>
        <w:t>Regeste</w:t>
      </w:r>
    </w:p>
    <w:p>
      <w:r>
        <w:t>Eine Hundebetreuungsstätte (für bis zu 8 Tiere) ist in einer Wohnzone, wo einzig nicht störende Betriebe zulässig sind, nicht zonenkonform.</w:t>
      </w:r>
    </w:p>
    <w:p>
      <w:pPr>
        <w:pStyle w:val="Heading2"/>
      </w:pPr>
      <w:r>
        <w:t>Erwägungen</w:t>
      </w:r>
    </w:p>
    <w:p>
      <w:r>
        <w:rPr>
          <w:b/>
        </w:rPr>
        <w:t>E. 2</w:t>
      </w:r>
    </w:p>
    <w:p>
      <w:r>
        <w:t>Eventualiter sei Ziff. 1.2 der Präsidialverfügung aufzuheben, und der Betrieb auf den Aufenthalt von maximal 3 Hunden zu beschränken;</w:t>
      </w:r>
    </w:p>
    <w:p>
      <w:r>
        <w:rPr>
          <w:b/>
        </w:rPr>
        <w:t>E. 3</w:t>
      </w:r>
    </w:p>
    <w:p>
      <w:r>
        <w:t>Subeventualiter sei das Verfahren an die Gemeinde X zurückzuweisen und dieser aufzutragen, anstelle des Anzeigeverfahrens ein ordentli- ches baurechtliches Verfahren durchzuführen;</w:t>
      </w:r>
    </w:p>
    <w:p>
      <w:r>
        <w:rPr>
          <w:b/>
        </w:rPr>
        <w:t>E. 4</w:t>
      </w:r>
    </w:p>
    <w:p>
      <w:r>
        <w:t>Es sei dem Rekurs aufschiebende Wirkung zu erteilen, und es sei den Rekursgegnern mit Einräumung einer kurzen Übergangsfrist zu verbie- ten, gewerbsmässig Hunde zu betreuen, bis über die Baubewilligung rechtskräftig entschieden ist;</w:t>
      </w:r>
    </w:p>
    <w:p>
      <w:r>
        <w:rPr>
          <w:b/>
        </w:rPr>
        <w:t>E. 5</w:t>
      </w:r>
    </w:p>
    <w:p>
      <w:r>
        <w:t>Die Vorinstanz vertritt die Ansicht, dass die bewilligte Nutzung in der Wohnzone W2 zonenkonform sei. Dem früher vorwiegend in immissions- rechtlicher Hinsicht verwendeten Begriff "nicht störend" seien in Wohnzo- nen Wohnungen, Büros, Ateliers und Praxen sowie Läden zugeordnet wor- den. Gewerbliche Nutzung sei in der Wohnzone W2 zulässig, soweit sie mit dem Wohnen vereinbar sei. Dazu gehöre alles, was zum Wohnen und all- täglichen Leben gehöre. Darunter fielen Einrichtungen für den täglichen Bedarf sowie der Kultur, Bildung und Sozialisierung. Der sogenannten "Berner Praxis" komme keine Bedeutung zu, da die Frage, ob etwas als nicht störend oder störend einzustufen sei, kommunales Recht betreffe. Haustiere gälten als "Familienmitglieder" und erfüllten wichtige soziale Funktionen. In der Gemeinde X habe Ende des Jahres 2013 die Anzahl der Kindergartenkinder 346, die der Primarschüler 835 und die der registrierten Hund 605 betragen. Diese Zahlen zeigten unmissverständlich, dass Hunde und Hundehaltung Teil der Wohnnutzung bildeten und entsprechende Be- R2.2014.00084 Seite 5</w:t>
      </w:r>
    </w:p>
    <w:p>
      <w:r>
        <w:t>treuungsangebote genauso wie Kinderhorte zonenkonform seien. Die Im- missionen, die aus einer professionell geführten Hundebetreuung resultier- ten, seien jedenfalls nicht störender als bei einem Hort oder Kindergarten.</w:t>
      </w:r>
    </w:p>
    <w:p>
      <w:r>
        <w:rPr>
          <w:b/>
        </w:rPr>
        <w:t>E. 6</w:t>
      </w:r>
    </w:p>
    <w:p>
      <w:r>
        <w:t>Die private Rekursgegnerschaft bringt ergänzend vor, Art. 4 BZO erlaube in Wohnzonen alle Nutzungen, welche mit dem Wohnen vereinbar seien und zum alltäglichen Leben gehörten. Dies treffe auch auf Schulhäuser, Kinder- gärten oder Kindertagesstätten zu, welche regelmässig als mit dem Zweck einer Wohnzone vereinbar beurteilt würden. Genauso gehöre das Halten von Hunden zur Wohnnutzung. Auch für sie bestehe eine Nachfrage nach Betreuungsstätten, welche genau gleich wie Kinderkrippen als nicht störend und damit zonenkonform einzustufen seien. Das Betriebskonzept sei darauf ausgerichtet, dass die Nachbarn nicht durch Hundegebell gestört würden. Im Gegensatz zu den von den Rekurrierenden vorgebrachten Fällen gehe es nicht um eine Dauerbetreuung, sondern nur darum, bis zu acht Hunde tagsüber aufzunehmen.</w:t>
      </w:r>
    </w:p>
    <w:p>
      <w:r>
        <w:rPr>
          <w:b/>
        </w:rPr>
        <w:t>E. 7</w:t>
      </w:r>
    </w:p>
    <w:p>
      <w:r>
        <w:t>Nach Art. 22 Abs. 2 lit. a des Raumplanungsgesetzes (RPG) müssen Bau- ten und Anlagen dem Zweck der Nutzungszone entsprechen. Wohnzonen sind gemäss § 52 PBG in erster Linie für Wohnbauten be- stimmt; dieser Nutzweise zugerechnet werden auch Arbeitsräume, die mit einer Wohnung zusammenhängen und in einem angemessenen Verhältnis zur eigentlichen Wohnfläche stehen (Abs. 1). Mässig störende Betriebe sind gestattet, wo die Bau- und Zonenordnung sie zulässt; stark störende und solche, die unverhältnismässig Verkehr auslösen, sind unzulässig (Abs. 3). In der Wohnzone W2 der Gemeinde X sind gemäss Art. 4 BZO einzig nicht störende Betriebe gestattet. Die kantonalrechtlichen Kategorien "nicht störend", "mässig störend" und "stark störend" waren ursprünglich vor allem, wenn auch nicht ausschliess- lich Begriffe immissionsrechtlichen Gehaltes. Gemäss § 294 PBG in der Fassung vom 7. September 1975 galten, sofern die Bau- und Zonenord- R2.2014.00084 Seite 6</w:t>
      </w:r>
    </w:p>
    <w:p>
      <w:r>
        <w:t>nung nichts anderes bestimmte, als zulässige Nutzweise in Kern- und Zent- rumszonen: Wohnungen, Büros, Ateliers und Praxen, Läden, mässig stö- rendes Gewerbe (lit. a); in Wohnzonen: Wohnungen, Büros, Ateliers und Praxen, Läden, nicht störendes Gewerbe (lit. b); in Industriezonen: Industri- elle und gewerbliche Betriebe (lit. c). Gestützt auf diese Bestimmung wurde im Kanton Zürich in langjähriger Praxis eine verschiedenste Betriebe erfas- sende Kategorisierung in nicht, mässig und stark störende Betriebe ge- schaffen. So galten etwa Schneiderateliers als nicht störende und Schrei- nereien als mässig störende Betriebe. Damit wurde in einer typisierenden, der allgemeinen Erfahrung entsprechenden Umschreibung festgestellt, welchen Betrieben welches Immissionspotential zuzuordnen war, und wur- den diese Betriebe mit den planungsrechtlichen Immissionsvorschriften in den einzelnen Zonen als nicht, mässig oder stark störende Betriebe zuge- lassen oder untersagt. Ob ein Betrieb aufgrund seiner konkreten Immissio- nen effektiv störte, war demgegenüber im Rahmen der kumulativ erfolgen- den Anwendung der polizeilichen Immissionsvorschrift von § 226 PBG zu beurteilen (BRKE IV Nr. 14/1982 in BEZ 1982 Nr. 29; Elisabeth Brüngger, Bedeutung kantonaler und kommunaler Nutzungsvorschriften unter Be- rücksichtigung des Bundesumweltrechts, PBG aktuell 2/1994, S. 5 ff., auch zum Folgenden). Mit der Revision des Planungs- und Baugesetzes vom 1. September 1991 wurde die Bestimmung von § 294 altPBG aufgehoben. Nunmehr ist aus- schliesslich in den die einzelnen Bauzonen definierenden Bestimmungen von §§ 50 ff. PBG festgehalten, in welchen Zonen nicht, mässig und stark störende Betriebe erlaubt sind bzw. durch die Bau- und Zonenordnung als zulässig erklärt werden können. Mit der Einführung des Bundesumweltschutzrechtes haben kantonalrechtli- che Bestimmungen, soweit sie dem Immissionsschutz dienten, ihre selb- ständige Bedeutung verloren. Nachdem der Bundesrat mit der Luftreinhalteverordnung und der Lärmschutzverordnung bundesrechtliche Vorschriften aufgestellt und insbesondere auch Grenzwerte festgelegt hat, sind die betreffenden Immissionen nur mehr nach diesen Regeln zu beur- teilen (BGE 114 Ib 214 ff., E. 4a). Dementsprechend verbleibt den Bestim- mungen über die Zulässigkeit von nicht, mässig und stark störenden Be- trieben nur noch ein raumplanerischer, d.h. die Zonenkonformität beschla- gender Gehalt, unter welchem Aspekt diese Vorschriften weiterhin beacht- lich sind. R2.2014.00084 Seite 7</w:t>
      </w:r>
    </w:p>
    <w:p>
      <w:r>
        <w:rPr>
          <w:b/>
        </w:rPr>
        <w:t>E. 8</w:t>
      </w:r>
    </w:p>
    <w:p>
      <w:r>
        <w:t>Zonenvorschriften sind grundsätzlich generell und abstrakt formuliert. Welch Arten von Nutzungen nach ihrer Immissionsstärke in einer bestimm- ten Zone zugelassen bzw. verboten sind, wird in typisierten, der allgemei- nen Erfahrung entsprechenden Umschreibungen ausgesagt. Die Beurtei- lung der Zonenkonformität erfolgt daher abstrakt, losgelöst von den konkre- ten Einwirkungen in der Nachbarschaft. Entscheidend ist, ob mit der betref- fenden Nutzung typischerweise Belästigungen verbunden sind, die über das hinausgehen, was normalerweise mit dem Wohnen verbunden ist. Erst in einer zweiten Beurteilungsstufe ist – gestützt auf das Umweltschutzge- setz und seine Ausführungen – zu prüfen, ob der Betrieb auch hinsichtlich der konkreten, für die Umgebung resultierenden Immissionen mit der Wohnnutzung vereinbar ist (BGr, 1C_538/2011 vom 25. Juni 2012, E. 5.1.1). Entsprechend ist bei der Beurteilung der Bewilligungsfähigkeit einer ge- werblichen Nutzung, worum es sich bei einer Hundebetreuung des vorlie- genden Ausmasses gegen Entgelt im Gegensatz zu einer hobbymässigen Hundehaltung zweifelsfrei handelt, zwischen den raumplanerischen und den umweltrechtlichen Aspekten zu unterscheiden. Zunächst ist zu prüfen, ob sich das umstrittene Vorhaben in der Wohnzone W2 als zonenkonform erweist.</w:t>
      </w:r>
    </w:p>
    <w:p>
      <w:r>
        <w:rPr>
          <w:b/>
        </w:rPr>
        <w:t>E. 9</w:t>
      </w:r>
    </w:p>
    <w:p>
      <w:r>
        <w:t>Hunden; in der Formulierung des Bundesgerichtes fehlt die Untergrenze) typischerweise zu Immissionen (insbesondere Bellen), die über das hin- ausgehen, was normalerweise mit dem Wohnen verbunden ist (BGr, 1C_538/2011 vom 25. Juni 2012, E. 5.1.2). Ferner trifft nicht zu, dass die Nutzung im Sinne der vorhergehenden Ausführungen derart eng mit dem Wohnen verknüpft ist, dass sie diesem zuzurechnen ist oder typischer- und sinnvollerweise innerhalb eines Wohnquartiers angeboten werden sollte. Im Gegensatz zu von den Kindern des Quartiers besuchten Kindergärten, Schulen und auch zu Horten (welche die Kinder vor oder nach der Schule aufsuchen), welche Einrichtungen allesamt für die Kinder auch ohne Be- gleitung durch Erwachsene erreichbar sein sollen, muss eine Hundebe- treuungsstätte nicht im Wohnquartier der Hundehalter angesiedelt sein. Vielmehr bringen die Halter ihre Tiere, oder diese werden zu Hause oder R2.2014.00084 Seite 9</w:t>
      </w:r>
    </w:p>
    <w:p>
      <w:r>
        <w:t>am Bahnhof X abgeholt. Das Einzugsgebiet deckt sich damit nicht typi- scherweise mit dem betroffenen Wohnquartier. Auch kann ein Standort mitten in einem Wohnquartier nicht als ideal be- zeichnet werden, da sich ein solches nicht für die täglichen Spaziergänge mit ganzen Hundegruppen eignet. Dies zeigt sich auch darin, dass die pri- vate Rekursgegnerschaft die Hunde gemäss dem vom Veterinäramt fest- gehaltenen Tagesablauf für die Spaziergänge mit dem Auto auf die Zürcher Allmend oder ins Gebiet Sihlhalde fahren muss (act. 5.10). Das Ausführen von (angeleinten) Hunden in grosser Zahl kann mit Beeinträchtigungen der Fussgänger verbunden sein, was gegen die Zonenkonformität spricht. Zo- nenkonformitätsüberlegungen haben ja gerade auch das Ziel, vor Beein- trächtigungen zu schützen, die nicht schon mit spezielleren Gesetzen (z.B. mit der Lärmschutzverordnung) abgewendet werden können. Ob es einem Quartierbewohner frei stünde, privat acht Hunde zu halten und gleichzeitig auszuführen, kann offen blieben. Die Frage der Zonenkonformität stellt sich nur, wenn eine betriebliche Nutzung vorliegt. Damit muss die Zonenkonformität eines solchen Betriebes in der betroffe- nen Wohnzone als nicht zonenkonform eingestuft werden. Die Gemeinde verfügt zwar bei der Auslegung ihres eigenen Rechts über einen Beurteilungsspielraum, wenn dieses wie hier unbestimmte Rechts- begriffe enthält. Auf der andern Seite ist der Beurteilungsspielraum der Gemeinde nicht unbeschränkt. Vielmehr steht das Recht auf wirksame Überprüfung auf derselben Stufe wie die Gemeindeautonomie. Diese bei- den gleichrangigen Verfassungsnormen sind im Rahmen praktischer Kon- kordanz auszulegen (VB.2013.00788 vom 28. August 2014, E. 4.5). Die Frage, ob der Beurteilungsspielraum einer Gemeinde bei der Ausle- gung ihres eigenen Rechts weiter reicht als bei der Auslegung kantonalen Rechts, hat das Verwaltungsgericht im zitierten Entscheid offen gelassen. Auch vorliegend kann diese Frage offen bleiben, ergibt sich doch im Lichte der vorstehend dargelegten klaren Sach- und Rechtslage, dass der Ent- scheid der Vorinstanz auch dann aufzuheben ist, wenn ihr ein erweiterter Beurteilungsspielraum zuzubilligen ist (vgl. zum Ganzen Marco Donatsch, in: Kommentar VRG 3. Aufl., Zürich/Basel/Genf 2014 § 20 Rz. 54 ff.). R2.2014.00084 Seite 10</w:t>
      </w:r>
    </w:p>
    <w:p>
      <w:r>
        <w:rPr>
          <w:b/>
        </w:rPr>
        <w:t>E. 10</w:t>
      </w:r>
    </w:p>
    <w:p>
      <w:r>
        <w:t>Zusammenfassend ist somit festzuhalten, dass es sich bei einer Hundebe- treuungsstätte in diesem Umfang nicht mehr um ein nicht störendes, ein- wandfrei in eine Wohnzone passendes Gewerbe handelt, weshalb der um- strittenen Nutzungsänderung die Zonenkonformität abzusprechen ist. Unter diesen Umständen erübrigt sich eine umweltrechtliche Beurteilung der vom Betrieb ausgehenden Immissionen. Entsprechend ist der angefochtene Entscheid aufzuheben und die Vor- instanz aufzufordern, der privaten Rekursgegnerschaft eine angemessene Frist zur Verlegung oder Aufhebung ihres Betriebes anzusetzen. [….] R2.2014.00084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